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FAD2" w14:textId="77777777" w:rsidR="00FB3C38" w:rsidRPr="00370B69" w:rsidRDefault="00FB3C38" w:rsidP="00FB3C38">
      <w:pPr>
        <w:spacing w:line="220" w:lineRule="exact"/>
        <w:rPr>
          <w:sz w:val="18"/>
        </w:rPr>
      </w:pPr>
      <w:r w:rsidRPr="00370B69">
        <w:rPr>
          <w:rFonts w:hint="eastAsia"/>
          <w:sz w:val="18"/>
        </w:rPr>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EB5D17">
            <w:pPr>
              <w:wordWrap/>
              <w:spacing w:line="180" w:lineRule="exact"/>
              <w:ind w:left="57" w:right="57"/>
              <w:jc w:val="center"/>
              <w:rPr>
                <w:sz w:val="18"/>
              </w:rPr>
            </w:pPr>
            <w:r w:rsidRPr="00370B69">
              <w:rPr>
                <w:rFonts w:hint="eastAsia"/>
                <w:sz w:val="18"/>
              </w:rPr>
              <w:t>確認内容</w:t>
            </w:r>
          </w:p>
          <w:p w14:paraId="33009C78" w14:textId="77777777" w:rsidR="00FB3C38" w:rsidRPr="00370B69" w:rsidRDefault="00FB3C38" w:rsidP="00EB5D17">
            <w:pPr>
              <w:wordWrap/>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C71D" w14:textId="77777777" w:rsidR="00D104C4" w:rsidRDefault="00D104C4">
      <w:r>
        <w:separator/>
      </w:r>
    </w:p>
  </w:endnote>
  <w:endnote w:type="continuationSeparator" w:id="0">
    <w:p w14:paraId="6878B46B" w14:textId="77777777" w:rsidR="00D104C4" w:rsidRDefault="00D1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CCE4" w14:textId="77777777" w:rsidR="00D104C4" w:rsidRDefault="00D104C4">
      <w:r>
        <w:separator/>
      </w:r>
    </w:p>
  </w:footnote>
  <w:footnote w:type="continuationSeparator" w:id="0">
    <w:p w14:paraId="5A03224A" w14:textId="77777777" w:rsidR="00D104C4" w:rsidRDefault="00D1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70D11"/>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104C4"/>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1C95"/>
    <w:rsid w:val="00F73D81"/>
    <w:rsid w:val="00FB3C38"/>
    <w:rsid w:val="00FC2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3.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967</Words>
  <Characters>5513</Characters>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2021-04-02T07:00:00Z</cp:lastPrinted>
  <dcterms:created xsi:type="dcterms:W3CDTF">2026-02-13T06:15:00Z</dcterms:created>
  <dcterms:modified xsi:type="dcterms:W3CDTF">2026-02-13T06:15:00Z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